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EA38" w14:textId="24662C5C" w:rsidR="00F35237" w:rsidRPr="00FD1D12" w:rsidRDefault="00F35237" w:rsidP="00F35237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25"/>
          <w:szCs w:val="24"/>
          <w:bdr w:val="none" w:sz="0" w:space="0" w:color="auto" w:frame="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5"/>
          <w:szCs w:val="24"/>
          <w:bdr w:val="none" w:sz="0" w:space="0" w:color="auto" w:frame="1"/>
          <w:lang w:eastAsia="es-PE"/>
        </w:rPr>
        <w:t>PREGUNTAS FRECUENTES DE LOS PARTICIPANTES DEL PROCESO DE ADMISIÓN RESIDENTADO QUÍMICO FARMACÉUTICO 2017</w:t>
      </w:r>
    </w:p>
    <w:p w14:paraId="7EC08E53" w14:textId="77777777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</w:p>
    <w:p w14:paraId="0BD23F4A" w14:textId="493807E5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1. ¿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Cuáles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son las especialidades que ofertan el Residentado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Químico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Farmacéutico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?</w:t>
      </w:r>
    </w:p>
    <w:p w14:paraId="1BD29E4D" w14:textId="2042BC47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Para el Concurso de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Admisión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2017, se consideran las siguientes especialidades:</w:t>
      </w:r>
    </w:p>
    <w:p w14:paraId="7A0FAE16" w14:textId="0C98FB27" w:rsidR="00F35237" w:rsidRPr="00F35237" w:rsidRDefault="00F35237" w:rsidP="00F35237">
      <w:pPr>
        <w:pStyle w:val="Prrafode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Farmacia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Clínica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.</w:t>
      </w:r>
    </w:p>
    <w:p w14:paraId="46967216" w14:textId="77777777" w:rsidR="00F35237" w:rsidRPr="00F35237" w:rsidRDefault="00F35237" w:rsidP="00F35237">
      <w:pPr>
        <w:pStyle w:val="Prrafode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Farmacia Hospitalaria.</w:t>
      </w:r>
    </w:p>
    <w:p w14:paraId="14A385A5" w14:textId="0653B231" w:rsidR="00F35237" w:rsidRPr="00F35237" w:rsidRDefault="00F35237" w:rsidP="00F35237">
      <w:pPr>
        <w:pStyle w:val="Prrafode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Toxicología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y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Química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Legal.</w:t>
      </w:r>
    </w:p>
    <w:p w14:paraId="58799430" w14:textId="77777777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</w:p>
    <w:p w14:paraId="604AC1A3" w14:textId="260DEA0C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2. ¿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Cómo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realizó la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inscripción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al Concurso de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Admisión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del Residentado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Químico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Farmacéutico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2017?</w:t>
      </w:r>
    </w:p>
    <w:p w14:paraId="2EF37AFC" w14:textId="361867EB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Lo realizo 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través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página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web www.conareqf.cqfp.org.pe/</w:t>
      </w:r>
    </w:p>
    <w:p w14:paraId="4DC1D72F" w14:textId="08DEB33D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3. ¿Hasta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cuándo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son las inscripciones del Proceso de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Admisión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del Residentado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Químico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Farmacéutico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2017?</w:t>
      </w:r>
    </w:p>
    <w:p w14:paraId="138C2802" w14:textId="3B284224" w:rsid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El Registro de Datos CONAREQF es del lunes 04 de setiembre al 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jueves 26 de octubre de 2017 (hasta 23:59 h.)</w:t>
      </w:r>
    </w:p>
    <w:p w14:paraId="29B6DDA0" w14:textId="77777777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</w:p>
    <w:p w14:paraId="77DAFDEB" w14:textId="7960C06D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4. ¿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Cuáles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son los requisitos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mínimos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del Concurso de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Admisión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del Residentado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Químico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Farmacéutico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2017?</w:t>
      </w:r>
    </w:p>
    <w:p w14:paraId="274C0F0B" w14:textId="2C37B5EE" w:rsidR="00F35237" w:rsidRPr="00F35237" w:rsidRDefault="00F35237" w:rsidP="00F35237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Título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profesional de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Farmacéutico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a nombre de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Nación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, otorgado por una universidad del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país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o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Título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expedido por la universidad extranjera revalidado por el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órgano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competente de acuerdo a ley.</w:t>
      </w:r>
    </w:p>
    <w:p w14:paraId="2BE9D76A" w14:textId="551412DC" w:rsidR="00F35237" w:rsidRPr="00F35237" w:rsidRDefault="00F35237" w:rsidP="00F35237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Constancia de habilidad por el Colegio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Farmacéutico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.</w:t>
      </w:r>
    </w:p>
    <w:p w14:paraId="44F9BCBF" w14:textId="5334A145" w:rsidR="00F35237" w:rsidRPr="00F35237" w:rsidRDefault="00F35237" w:rsidP="00F35237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Resolución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haber cumplido con el Servicio Rural y Urbano Marginal de Salud – SERUMS.</w:t>
      </w:r>
    </w:p>
    <w:p w14:paraId="3BCAD0EA" w14:textId="00DCDFD5" w:rsidR="00F35237" w:rsidRPr="00F35237" w:rsidRDefault="00F35237" w:rsidP="00F35237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Certificados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médicos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salud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física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y mental, con una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antigüedad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no mayor de tres (3) meses.</w:t>
      </w:r>
    </w:p>
    <w:p w14:paraId="6EBD7F91" w14:textId="03312647" w:rsidR="00F35237" w:rsidRPr="00F35237" w:rsidRDefault="00F35237" w:rsidP="00F35237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Certificado original de promedio promocional ponderado, expedido por la Facultad o Escuela de Farmacia y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Bioquímica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, en el que debe constar el orden de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mérito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y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número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egresados de la correspondiente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promoción. (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Este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último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será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́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válido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para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calificación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en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ítems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orden mérito)</w:t>
      </w:r>
    </w:p>
    <w:p w14:paraId="76D3C05A" w14:textId="31E2AFA8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Más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información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verificar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página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web www.conareqf.cqfp.org.pe; en Disposiciones complementarias 2017.</w:t>
      </w:r>
    </w:p>
    <w:p w14:paraId="34874571" w14:textId="2E7F2A31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5. ¿La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inscripción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del Concurso de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Admisión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del Residentado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Químico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Farmacéutico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solo lo realizo a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través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de la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página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web eso es todo?</w:t>
      </w:r>
    </w:p>
    <w:p w14:paraId="447FC68F" w14:textId="0B935131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Luego de inscribirte 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través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página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www.conareqf.cqfp.org.pe; tienes que ir a la universidad a la que postula a presentar los requisitos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mínimos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y adjuntando la constancia de registro generada en documentó impreso original.</w:t>
      </w:r>
    </w:p>
    <w:p w14:paraId="74F132DD" w14:textId="7AAA4C36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6. ¿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Cuáles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son las vacantes y modalidades de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postulación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?</w:t>
      </w:r>
    </w:p>
    <w:p w14:paraId="22A6E5AE" w14:textId="77777777" w:rsid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i/>
          <w:iCs/>
          <w:color w:val="1D1D1D"/>
          <w:sz w:val="21"/>
          <w:szCs w:val="21"/>
          <w:bdr w:val="none" w:sz="0" w:space="0" w:color="auto" w:frame="1"/>
          <w:lang w:eastAsia="es-PE"/>
        </w:rPr>
      </w:pPr>
    </w:p>
    <w:p w14:paraId="64393D19" w14:textId="50853DF6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i/>
          <w:iCs/>
          <w:color w:val="1D1D1D"/>
          <w:sz w:val="21"/>
          <w:szCs w:val="21"/>
          <w:bdr w:val="none" w:sz="0" w:space="0" w:color="auto" w:frame="1"/>
          <w:lang w:eastAsia="es-PE"/>
        </w:rPr>
        <w:t>Vacante Cautiva:</w:t>
      </w:r>
    </w:p>
    <w:p w14:paraId="02E9C8D2" w14:textId="57544809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A.- 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Del Pliego 011 Ministerio de Salud, de sus organismos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públicos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, los Gobiernos Regionales en sedes del Ministerio de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Salud. -</w:t>
      </w:r>
    </w:p>
    <w:p w14:paraId="5DC9C082" w14:textId="59110F79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Es aquella vacante en las sedes docentes de Lima Metropolitana, destinada exclusivamente 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Químicos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Farmacéuticos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nombrados, comprendidos en el Decreto Legislativo N° 276 del Pliego 011 del Ministerio de Salud, de sus Organismos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Públicos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, del Pliego de los Gobiernos Regionales (a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través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las Direcciones Regionales de Salud o sus equivalentes), y del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Régimen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Especial de Lima Metropolitana.</w:t>
      </w:r>
    </w:p>
    <w:p w14:paraId="1FEB191E" w14:textId="785CC114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No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podrán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postular en esta modalidad los profesionales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Químicos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Farmacéuticos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contratados dentro del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régimen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del Decreto Legislativo N° 276, ni los contratados bajo el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régimen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laboral del Decreto Legislativo N° 728 y del Decreto Legislativo N° 1057.</w:t>
      </w:r>
    </w:p>
    <w:p w14:paraId="192F4EDF" w14:textId="3B2FF01E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lastRenderedPageBreak/>
        <w:t xml:space="preserve">El postulante debe acreditar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autorización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su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institución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para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postulación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en esta modalidad,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según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Anexo 02 y presentar copia fedateada de su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Resolución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Nombramiento ante la universidad a la que postula.</w:t>
      </w:r>
    </w:p>
    <w:p w14:paraId="46F1729D" w14:textId="33971220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Los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Químicos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Farmacéuticos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que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están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realizando el SERUMS no pueden postular por esta modalidad.</w:t>
      </w:r>
    </w:p>
    <w:p w14:paraId="37C6D451" w14:textId="4AA6AFB2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En esta modalidad,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institución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origen financia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remuneración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del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Farmacéutico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residente durante todo el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periodo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formación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y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institución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destino el pago de otros beneficios legales que le sean aplicables.</w:t>
      </w:r>
    </w:p>
    <w:p w14:paraId="61CBF4C0" w14:textId="4FFA038D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B.- 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Del Seguro Social de Salud –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ESSALUD. -</w:t>
      </w:r>
    </w:p>
    <w:p w14:paraId="687954F8" w14:textId="2A1F4D8F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Es aquella vacante en las sedes docentes de ESSALUD destinada exclusivamente a profesionales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Farmacéuticos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nombrados (Decreto Legislativo N° 276) o con contrato vigente a plazo indeterminado (Decreto Legislativo N° 728) con 01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año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servicios ininterrumpidos en ESSALUD a la fecha de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postulación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. Los postulantes nombrados o con contrato vigente a plazo indeterminado, que ocupan cargos directivos o de confianza (por encargo) no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podrán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adjudicar una plaza por esta modalidad.</w:t>
      </w:r>
    </w:p>
    <w:p w14:paraId="11BDAB87" w14:textId="6F9F251E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Así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́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también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, el postulante de ESSALUD que tiene cargo de confianza sin ser trabajador nombrado o con contratado a plazo indeterminado en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institución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no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podrá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́ participar del Proceso de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Admisión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al Residentado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Farmacéutico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2017.</w:t>
      </w:r>
    </w:p>
    <w:p w14:paraId="346A1011" w14:textId="0D8FCF65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El postulante debe acreditar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autorización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su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institución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para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postulación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en esta modalidad,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según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Anexo 03.</w:t>
      </w:r>
    </w:p>
    <w:p w14:paraId="63F73497" w14:textId="77777777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i/>
          <w:iCs/>
          <w:color w:val="1D1D1D"/>
          <w:sz w:val="21"/>
          <w:szCs w:val="21"/>
          <w:bdr w:val="none" w:sz="0" w:space="0" w:color="auto" w:frame="1"/>
          <w:lang w:eastAsia="es-PE"/>
        </w:rPr>
        <w:t>Vacante Libre:</w:t>
      </w:r>
    </w:p>
    <w:p w14:paraId="1DA96B96" w14:textId="47E51091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Es aquella vacante destinada para realizar estudios de Residentado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Farmacéutico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, dirigida a postulantes que no tienen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vínculo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laboral con instituciones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públicas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, ubicada en una sede docente con campo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clínico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autorizado por el CONAREQF y financiada por la entidad prestadora de servicios de salud.</w:t>
      </w:r>
    </w:p>
    <w:p w14:paraId="07910E18" w14:textId="49264B4D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Los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Farmacéuticos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contratados por ESSALUD a plazo indeterminado y aquellos que hayan resuelto su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vínculo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laboral con ESSALUD (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Régimen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Laboral Decreto Legislativo 728), que deseen postular, en la modalidad de plazas libres de ESSALUD,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deberán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tener en cuenta lo establecido en el Art. 78o de la Ley de Productividad y Competitividad Laboral, Texto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Único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Ordenado del Decreto Legislativo 728, el cual indica: “Los trabajadores permanentes que cesen no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podrán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ser recontratados bajo ninguna de las modalidades previstas en este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Título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, salvo que haya transcurrido un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año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del cese”.</w:t>
      </w:r>
    </w:p>
    <w:p w14:paraId="62D675D3" w14:textId="59C20B69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Mayor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información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en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página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web www.conareqf.cqfp.org.pe</w:t>
      </w:r>
    </w:p>
    <w:p w14:paraId="587307F4" w14:textId="0F5B46C4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7. ¿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Cuáles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son las plazas vacantes del Concurso de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Admisión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del Residentado Químico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Farmacéutico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?</w:t>
      </w:r>
    </w:p>
    <w:p w14:paraId="5004EF7C" w14:textId="652D5CAB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Las plazas, se encuentra registradas en el Cuadro General de Vacantes de Residentado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Químico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Farmacéutico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2017, publicada en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página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web: www.conareqf.cqfp.org.pe</w:t>
      </w:r>
    </w:p>
    <w:p w14:paraId="68644BB3" w14:textId="7E804ED0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8. ¿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Cuál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es la fecha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límite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para el registro de Datos del Residentado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Químico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Farmacéutico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2017, en la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página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web?</w:t>
      </w:r>
    </w:p>
    <w:p w14:paraId="6AB90231" w14:textId="507C98CA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Hasta el 26 de octubre de 2017 hasta las 23:59 horas;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más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información</w:t>
      </w:r>
    </w:p>
    <w:p w14:paraId="56960EC8" w14:textId="55F1DFEC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9. ¿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Cuál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es la fecha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límite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para la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inscripción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ante la universidad del Residentado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Químico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Farmacéutico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2017?</w:t>
      </w:r>
    </w:p>
    <w:p w14:paraId="55C1E798" w14:textId="09FE10C0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Hasta el 27 de octubre de 2017 (14:00 horas);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más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información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página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web: www.conareqf.cqfp.org.pe</w:t>
      </w:r>
    </w:p>
    <w:p w14:paraId="0ADEA35D" w14:textId="183C3F08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lastRenderedPageBreak/>
        <w:t xml:space="preserve">10.-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Cuál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es la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remuneración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que brinda el Residentado de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Químico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Farmacéutico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en una plaza cautiva en el MINSA.</w:t>
      </w:r>
    </w:p>
    <w:p w14:paraId="1A2DE4E7" w14:textId="77777777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Son la misma que reciben de la unidad ejecutora de procedencia</w:t>
      </w:r>
    </w:p>
    <w:p w14:paraId="6DB33BA5" w14:textId="097DE0E9" w:rsid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11. ¿Costos de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inscripción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y derecho del Proceso de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Admisión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2017?</w:t>
      </w:r>
    </w:p>
    <w:p w14:paraId="3D2A0504" w14:textId="100F310A" w:rsidR="00FD1D12" w:rsidRDefault="00FD1D12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</w:pPr>
    </w:p>
    <w:tbl>
      <w:tblPr>
        <w:tblW w:w="835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4082"/>
      </w:tblGrid>
      <w:tr w:rsidR="00F35237" w:rsidRPr="00F35237" w14:paraId="092453C8" w14:textId="77777777" w:rsidTr="00FD1D12">
        <w:trPr>
          <w:tblCellSpacing w:w="15" w:type="dxa"/>
          <w:jc w:val="center"/>
        </w:trPr>
        <w:tc>
          <w:tcPr>
            <w:tcW w:w="8299" w:type="dxa"/>
            <w:gridSpan w:val="2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10041EF5" w14:textId="77777777" w:rsidR="00F35237" w:rsidRPr="00F35237" w:rsidRDefault="00F35237" w:rsidP="00F35237">
            <w:pPr>
              <w:spacing w:after="0" w:line="240" w:lineRule="auto"/>
              <w:jc w:val="both"/>
              <w:textAlignment w:val="baseline"/>
              <w:divId w:val="1335258705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PE"/>
              </w:rPr>
              <w:t>DERECHO DE INSCRIPCIÓN</w:t>
            </w: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br/>
            </w:r>
            <w:r w:rsidRPr="00F3523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PE"/>
              </w:rPr>
              <w:t>CONCURSO DE ADMISIÓN DEL RESIDENTADO QUÍMICO FARMACÉUTICO 2017</w:t>
            </w:r>
          </w:p>
        </w:tc>
      </w:tr>
      <w:tr w:rsidR="00F35237" w:rsidRPr="00F35237" w14:paraId="0D41AEED" w14:textId="77777777" w:rsidTr="00FD1D12">
        <w:trPr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51AECAAA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DETALLES</w:t>
            </w:r>
          </w:p>
        </w:tc>
        <w:tc>
          <w:tcPr>
            <w:tcW w:w="403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39A1BFA3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UNIVERSIDAD NACIONAL MAYOR DE SAN MARCOS</w:t>
            </w:r>
          </w:p>
        </w:tc>
      </w:tr>
      <w:tr w:rsidR="00F35237" w:rsidRPr="00F35237" w14:paraId="0D3ADB0F" w14:textId="77777777" w:rsidTr="00FD1D12">
        <w:trPr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2BE0845A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DERECHO AL CONCURSO DE ADMISIÓN</w:t>
            </w:r>
          </w:p>
        </w:tc>
        <w:tc>
          <w:tcPr>
            <w:tcW w:w="403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5F424AC2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S/ 500.00 Soles</w:t>
            </w:r>
          </w:p>
        </w:tc>
      </w:tr>
      <w:tr w:rsidR="00F35237" w:rsidRPr="00F35237" w14:paraId="12F2CDA8" w14:textId="77777777" w:rsidTr="00FD1D12">
        <w:trPr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25F2751D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NUMERO DE CUENTA DE LA UNIVERSIDAD</w:t>
            </w:r>
          </w:p>
        </w:tc>
        <w:tc>
          <w:tcPr>
            <w:tcW w:w="403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6183A8E2" w14:textId="1BCD2115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 xml:space="preserve">Banco Financiero, </w:t>
            </w: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código</w:t>
            </w: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 xml:space="preserve"> 042-054</w:t>
            </w:r>
          </w:p>
        </w:tc>
      </w:tr>
      <w:tr w:rsidR="00F35237" w:rsidRPr="00F35237" w14:paraId="2C46E017" w14:textId="77777777" w:rsidTr="00FD1D12">
        <w:trPr>
          <w:tblCellSpacing w:w="15" w:type="dxa"/>
          <w:jc w:val="center"/>
        </w:trPr>
        <w:tc>
          <w:tcPr>
            <w:tcW w:w="8299" w:type="dxa"/>
            <w:gridSpan w:val="2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07C85A8F" w14:textId="7FCDF458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Por concepto de registro al </w:t>
            </w:r>
            <w:r w:rsidRPr="00F3523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PE"/>
              </w:rPr>
              <w:t xml:space="preserve">Concurso Nacional de </w:t>
            </w:r>
            <w:r w:rsidRPr="00F3523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PE"/>
              </w:rPr>
              <w:t>Admisión</w:t>
            </w:r>
            <w:r w:rsidRPr="00F3523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PE"/>
              </w:rPr>
              <w:t xml:space="preserve"> al Residentado </w:t>
            </w:r>
            <w:r w:rsidRPr="00F3523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PE"/>
              </w:rPr>
              <w:t>Químico</w:t>
            </w:r>
            <w:r w:rsidRPr="00F3523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PE"/>
              </w:rPr>
              <w:t xml:space="preserve"> </w:t>
            </w:r>
            <w:r w:rsidRPr="00F3523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PE"/>
              </w:rPr>
              <w:t>Farmacéutico</w:t>
            </w:r>
            <w:r w:rsidRPr="00F3523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PE"/>
              </w:rPr>
              <w:t xml:space="preserve"> 2017</w:t>
            </w: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 xml:space="preserve">, el postulante debe realizar un </w:t>
            </w: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depósito</w:t>
            </w: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 xml:space="preserve"> bancario a la cuenta del COLEGIO QUIMICO FARMACEUTICO, la cantidad de S/ 250.00 (doscientocincuenta y 00/100 soles) en una cuenta corriente de INTERBANK N°047- 2424578288</w:t>
            </w:r>
          </w:p>
        </w:tc>
      </w:tr>
    </w:tbl>
    <w:p w14:paraId="1208A4F5" w14:textId="77777777" w:rsidR="00FD1D12" w:rsidRDefault="00FD1D12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</w:pPr>
    </w:p>
    <w:p w14:paraId="360F986A" w14:textId="6D813CDC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12.-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¿Cuánto es el Pago de matrícula y mensualidad de la Universidades UNMSM?</w:t>
      </w:r>
    </w:p>
    <w:p w14:paraId="0F56EDFB" w14:textId="0EF2C246" w:rsidR="00F35237" w:rsidRPr="00FD1D12" w:rsidRDefault="00F35237" w:rsidP="00FD1D12"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Matrícula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Anual:</w:t>
      </w:r>
    </w:p>
    <w:p w14:paraId="14F47700" w14:textId="1642E6F5" w:rsidR="00F35237" w:rsidRPr="00FD1D12" w:rsidRDefault="00F35237" w:rsidP="00FD1D12">
      <w:pPr>
        <w:pStyle w:val="Prrafodelista"/>
        <w:numPr>
          <w:ilvl w:val="2"/>
          <w:numId w:val="9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Matrícula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UPG: S/. 300.00</w:t>
      </w:r>
    </w:p>
    <w:p w14:paraId="0185F30D" w14:textId="4CB87A9C" w:rsidR="00F35237" w:rsidRPr="00FD1D12" w:rsidRDefault="00F35237" w:rsidP="00FD1D12">
      <w:pPr>
        <w:pStyle w:val="Prrafodelista"/>
        <w:numPr>
          <w:ilvl w:val="2"/>
          <w:numId w:val="9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Matrícula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UNMSM: S/. 52.00</w:t>
      </w:r>
    </w:p>
    <w:p w14:paraId="4F591512" w14:textId="77777777" w:rsidR="00FD1D12" w:rsidRDefault="00F35237" w:rsidP="00FD1D12"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Perfeccionamiento por 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crédito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: S/. 150.00</w:t>
      </w:r>
    </w:p>
    <w:p w14:paraId="0AC9E81B" w14:textId="278A303A" w:rsidR="00F35237" w:rsidRPr="00FD1D12" w:rsidRDefault="00F35237" w:rsidP="00FD1D12"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proofErr w:type="gramStart"/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Total</w:t>
      </w:r>
      <w:proofErr w:type="gramEnd"/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Créditos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por especialidad: 120.0 (40.0 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créditos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por 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año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aprox. 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Según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Plan de Estudio)</w:t>
      </w:r>
    </w:p>
    <w:p w14:paraId="7EDA17FE" w14:textId="12B0B940" w:rsidR="00F35237" w:rsidRPr="00FD1D12" w:rsidRDefault="00F35237" w:rsidP="00FD1D12"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Duración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las especialidades: 3 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años</w:t>
      </w:r>
    </w:p>
    <w:p w14:paraId="0FD75BDB" w14:textId="4DAA7B52" w:rsidR="00F35237" w:rsidRDefault="00F35237" w:rsidP="00FD1D12"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Ver en la 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página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WEB de la universidad. </w:t>
      </w:r>
      <w:hyperlink r:id="rId5" w:history="1">
        <w:r w:rsidR="00FD1D12" w:rsidRPr="00374BCB">
          <w:rPr>
            <w:rStyle w:val="Hipervnculo"/>
            <w:rFonts w:ascii="inherit" w:eastAsia="Times New Roman" w:hAnsi="inherit" w:cs="Helvetica"/>
            <w:sz w:val="21"/>
            <w:szCs w:val="21"/>
            <w:lang w:eastAsia="es-PE"/>
          </w:rPr>
          <w:t>http://farmacia.unmsm.edu.pe</w:t>
        </w:r>
      </w:hyperlink>
    </w:p>
    <w:p w14:paraId="353CDCC9" w14:textId="77777777" w:rsidR="00FD1D12" w:rsidRPr="00FD1D12" w:rsidRDefault="00FD1D12" w:rsidP="00FD1D12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</w:p>
    <w:p w14:paraId="53EBA411" w14:textId="18C2A0D3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13. ¿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Cómo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es la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calificación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del Proceso de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Admisión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del Residentado en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Químico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Farmacéutico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?</w:t>
      </w:r>
    </w:p>
    <w:p w14:paraId="12021345" w14:textId="4BD3C210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La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calificación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total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será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́ la suma de los dos criterios descritos anteriormente, haciendo un puntaje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máximo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cien (100) puntos,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según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el siguiente detalle:</w:t>
      </w:r>
    </w:p>
    <w:p w14:paraId="74A9F18A" w14:textId="5075CE1D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1. Examen de conocimientos, con un puntaje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máximo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ochenta y cuatro (84) puntos.</w:t>
      </w:r>
    </w:p>
    <w:p w14:paraId="36A4332B" w14:textId="64D3E391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2.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Currículo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Vitae, con un puntaje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máximo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dieciséis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(16) puntos, el mismo que comprende los siguientes factores:</w:t>
      </w:r>
    </w:p>
    <w:p w14:paraId="544BD229" w14:textId="72973595" w:rsidR="00F35237" w:rsidRPr="00FD1D12" w:rsidRDefault="00F35237" w:rsidP="00FD1D12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Orden de 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mérito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, con un 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máximo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seis (06) puntos.</w:t>
      </w:r>
    </w:p>
    <w:p w14:paraId="7BCA4B0E" w14:textId="433B3105" w:rsidR="00F35237" w:rsidRPr="00FD1D12" w:rsidRDefault="00F35237" w:rsidP="00FD1D12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Bonificación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por haber realizado el SECIGRA o SERUMS, hasta con un 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máximo</w:t>
      </w:r>
      <w:r w:rsidRPr="00FD1D12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diez (10) puntos, de acuerdo a la normativa que regula la materia.</w:t>
      </w:r>
    </w:p>
    <w:p w14:paraId="50D46AC7" w14:textId="77777777" w:rsidR="00FD1D12" w:rsidRPr="00F35237" w:rsidRDefault="00FD1D12" w:rsidP="00FD1D12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</w:p>
    <w:p w14:paraId="1AAE41F6" w14:textId="4C695EE9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14. ¿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Cómo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es la estructura del Examen de Conocimiento del Residentado en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Químico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Farmacéutico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2017?</w:t>
      </w:r>
    </w:p>
    <w:p w14:paraId="2A25472C" w14:textId="0016AD2D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La prueba consta de 100 preguntas con una 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duración</w:t>
      </w: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 xml:space="preserve"> de dos (02) horas, se formulará en base a los conocimientos impartidos en el pregrado.</w:t>
      </w:r>
    </w:p>
    <w:p w14:paraId="03A582E2" w14:textId="77777777" w:rsidR="00FD1D12" w:rsidRDefault="00FD1D12">
      <w:pPr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</w:pPr>
      <w:r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br w:type="page"/>
      </w:r>
    </w:p>
    <w:p w14:paraId="73281D6D" w14:textId="7B68EEFE" w:rsidR="00F35237" w:rsidRPr="00F35237" w:rsidRDefault="00F35237" w:rsidP="00F3523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lastRenderedPageBreak/>
        <w:t xml:space="preserve">15. –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¿Cuál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 xml:space="preserve"> es la remuneración que brinda el Residentado de Químico Farmacéutico en una plaza cautiva en el </w:t>
      </w:r>
      <w:r w:rsidRPr="00F35237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es-PE"/>
        </w:rPr>
        <w:t>ESSALUD?</w:t>
      </w:r>
    </w:p>
    <w:p w14:paraId="64FDD283" w14:textId="77777777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Modalidad Libre:</w:t>
      </w:r>
    </w:p>
    <w:tbl>
      <w:tblPr>
        <w:tblW w:w="495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843"/>
      </w:tblGrid>
      <w:tr w:rsidR="00F35237" w:rsidRPr="00F35237" w14:paraId="74A3C67D" w14:textId="77777777" w:rsidTr="00FD1D12">
        <w:trPr>
          <w:tblCellSpacing w:w="15" w:type="dxa"/>
          <w:jc w:val="center"/>
        </w:trPr>
        <w:tc>
          <w:tcPr>
            <w:tcW w:w="3069" w:type="dxa"/>
            <w:shd w:val="clear" w:color="auto" w:fill="F9F9F9"/>
            <w:tcMar>
              <w:top w:w="60" w:type="dxa"/>
              <w:left w:w="172" w:type="dxa"/>
              <w:bottom w:w="60" w:type="dxa"/>
              <w:right w:w="172" w:type="dxa"/>
            </w:tcMar>
            <w:vAlign w:val="bottom"/>
            <w:hideMark/>
          </w:tcPr>
          <w:p w14:paraId="257FDEA2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Remuneración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172" w:type="dxa"/>
              <w:bottom w:w="60" w:type="dxa"/>
              <w:right w:w="172" w:type="dxa"/>
            </w:tcMar>
            <w:vAlign w:val="bottom"/>
            <w:hideMark/>
          </w:tcPr>
          <w:p w14:paraId="358CC664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S/. 1,746.00</w:t>
            </w:r>
          </w:p>
        </w:tc>
      </w:tr>
      <w:tr w:rsidR="00F35237" w:rsidRPr="00F35237" w14:paraId="28533E99" w14:textId="77777777" w:rsidTr="00FD1D12">
        <w:trPr>
          <w:tblCellSpacing w:w="15" w:type="dxa"/>
          <w:jc w:val="center"/>
        </w:trPr>
        <w:tc>
          <w:tcPr>
            <w:tcW w:w="3069" w:type="dxa"/>
            <w:shd w:val="clear" w:color="auto" w:fill="F9F9F9"/>
            <w:tcMar>
              <w:top w:w="60" w:type="dxa"/>
              <w:left w:w="172" w:type="dxa"/>
              <w:bottom w:w="60" w:type="dxa"/>
              <w:right w:w="172" w:type="dxa"/>
            </w:tcMar>
            <w:vAlign w:val="bottom"/>
            <w:hideMark/>
          </w:tcPr>
          <w:p w14:paraId="4A029349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Bonificación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172" w:type="dxa"/>
              <w:bottom w:w="60" w:type="dxa"/>
              <w:right w:w="172" w:type="dxa"/>
            </w:tcMar>
            <w:vAlign w:val="bottom"/>
            <w:hideMark/>
          </w:tcPr>
          <w:p w14:paraId="5FD92452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S/. 2,276.00</w:t>
            </w:r>
          </w:p>
        </w:tc>
      </w:tr>
      <w:tr w:rsidR="00F35237" w:rsidRPr="00F35237" w14:paraId="3BAF3C9A" w14:textId="77777777" w:rsidTr="00FD1D12">
        <w:trPr>
          <w:tblCellSpacing w:w="15" w:type="dxa"/>
          <w:jc w:val="center"/>
        </w:trPr>
        <w:tc>
          <w:tcPr>
            <w:tcW w:w="3069" w:type="dxa"/>
            <w:shd w:val="clear" w:color="auto" w:fill="F9F9F9"/>
            <w:tcMar>
              <w:top w:w="60" w:type="dxa"/>
              <w:left w:w="172" w:type="dxa"/>
              <w:bottom w:w="60" w:type="dxa"/>
              <w:right w:w="172" w:type="dxa"/>
            </w:tcMar>
            <w:vAlign w:val="bottom"/>
            <w:hideMark/>
          </w:tcPr>
          <w:p w14:paraId="1C954123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Bono productividad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172" w:type="dxa"/>
              <w:bottom w:w="60" w:type="dxa"/>
              <w:right w:w="172" w:type="dxa"/>
            </w:tcMar>
            <w:vAlign w:val="bottom"/>
            <w:hideMark/>
          </w:tcPr>
          <w:p w14:paraId="24F08F1E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S/. 721.00</w:t>
            </w:r>
          </w:p>
        </w:tc>
      </w:tr>
      <w:tr w:rsidR="00F35237" w:rsidRPr="00F35237" w14:paraId="22551556" w14:textId="77777777" w:rsidTr="00FD1D12">
        <w:trPr>
          <w:tblCellSpacing w:w="15" w:type="dxa"/>
          <w:jc w:val="center"/>
        </w:trPr>
        <w:tc>
          <w:tcPr>
            <w:tcW w:w="3069" w:type="dxa"/>
            <w:shd w:val="clear" w:color="auto" w:fill="F9F9F9"/>
            <w:tcMar>
              <w:top w:w="60" w:type="dxa"/>
              <w:left w:w="172" w:type="dxa"/>
              <w:bottom w:w="60" w:type="dxa"/>
              <w:right w:w="172" w:type="dxa"/>
            </w:tcMar>
            <w:vAlign w:val="bottom"/>
            <w:hideMark/>
          </w:tcPr>
          <w:p w14:paraId="4CB4BD75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Bono Prest. Econ. / Alta Resp.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172" w:type="dxa"/>
              <w:bottom w:w="60" w:type="dxa"/>
              <w:right w:w="172" w:type="dxa"/>
            </w:tcMar>
            <w:vAlign w:val="bottom"/>
            <w:hideMark/>
          </w:tcPr>
          <w:p w14:paraId="4CD4FF5B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  <w:t>S/. 828.00</w:t>
            </w:r>
          </w:p>
        </w:tc>
      </w:tr>
      <w:tr w:rsidR="00F35237" w:rsidRPr="00F35237" w14:paraId="444C5E81" w14:textId="77777777" w:rsidTr="00FD1D12">
        <w:trPr>
          <w:tblCellSpacing w:w="15" w:type="dxa"/>
          <w:jc w:val="center"/>
        </w:trPr>
        <w:tc>
          <w:tcPr>
            <w:tcW w:w="3069" w:type="dxa"/>
            <w:shd w:val="clear" w:color="auto" w:fill="F9F9F9"/>
            <w:tcMar>
              <w:top w:w="60" w:type="dxa"/>
              <w:left w:w="172" w:type="dxa"/>
              <w:bottom w:w="60" w:type="dxa"/>
              <w:right w:w="172" w:type="dxa"/>
            </w:tcMar>
            <w:vAlign w:val="bottom"/>
            <w:hideMark/>
          </w:tcPr>
          <w:p w14:paraId="35203E76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PE"/>
              </w:rPr>
              <w:t>Total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172" w:type="dxa"/>
              <w:bottom w:w="60" w:type="dxa"/>
              <w:right w:w="172" w:type="dxa"/>
            </w:tcMar>
            <w:vAlign w:val="bottom"/>
            <w:hideMark/>
          </w:tcPr>
          <w:p w14:paraId="310913E1" w14:textId="77777777" w:rsidR="00F35237" w:rsidRPr="00F35237" w:rsidRDefault="00F35237" w:rsidP="00F3523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es-PE"/>
              </w:rPr>
            </w:pPr>
            <w:r w:rsidRPr="00F3523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PE"/>
              </w:rPr>
              <w:t>S/. 5,571.00</w:t>
            </w:r>
          </w:p>
        </w:tc>
      </w:tr>
    </w:tbl>
    <w:p w14:paraId="70E839C7" w14:textId="77777777" w:rsidR="00FD1D12" w:rsidRDefault="00FD1D12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</w:p>
    <w:p w14:paraId="40D24471" w14:textId="7F9ACE45" w:rsidR="00F35237" w:rsidRPr="00F35237" w:rsidRDefault="00F35237" w:rsidP="00F35237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Modalidad Cautiva:</w:t>
      </w:r>
    </w:p>
    <w:p w14:paraId="5D988B20" w14:textId="77777777" w:rsidR="00F35237" w:rsidRPr="00F35237" w:rsidRDefault="00F35237" w:rsidP="00F35237">
      <w:pPr>
        <w:numPr>
          <w:ilvl w:val="0"/>
          <w:numId w:val="6"/>
        </w:numPr>
        <w:spacing w:after="0" w:line="240" w:lineRule="auto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</w:pPr>
      <w:r w:rsidRPr="00F35237">
        <w:rPr>
          <w:rFonts w:ascii="inherit" w:eastAsia="Times New Roman" w:hAnsi="inherit" w:cs="Helvetica"/>
          <w:color w:val="1D1D1D"/>
          <w:sz w:val="21"/>
          <w:szCs w:val="21"/>
          <w:lang w:eastAsia="es-PE"/>
        </w:rPr>
        <w:t>Mantienen la remuneración actual</w:t>
      </w:r>
    </w:p>
    <w:p w14:paraId="4AA7281E" w14:textId="77777777" w:rsidR="00D37C3B" w:rsidRDefault="00D37C3B" w:rsidP="00F35237">
      <w:pPr>
        <w:jc w:val="both"/>
      </w:pPr>
    </w:p>
    <w:sectPr w:rsidR="00D37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notTrueType/>
    <w:pitch w:val="variable"/>
    <w:sig w:usb0="A0002AAF" w:usb1="4000004A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2CDB"/>
    <w:multiLevelType w:val="hybridMultilevel"/>
    <w:tmpl w:val="18C6D1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195"/>
    <w:multiLevelType w:val="multilevel"/>
    <w:tmpl w:val="881E62DA"/>
    <w:lvl w:ilvl="0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4661F"/>
    <w:multiLevelType w:val="hybridMultilevel"/>
    <w:tmpl w:val="FA1830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238A"/>
    <w:multiLevelType w:val="multilevel"/>
    <w:tmpl w:val="5E6E1352"/>
    <w:lvl w:ilvl="0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34575"/>
    <w:multiLevelType w:val="multilevel"/>
    <w:tmpl w:val="D482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86292D"/>
    <w:multiLevelType w:val="multilevel"/>
    <w:tmpl w:val="B1B4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D60AE4"/>
    <w:multiLevelType w:val="multilevel"/>
    <w:tmpl w:val="026433C4"/>
    <w:lvl w:ilvl="0">
      <w:start w:val="1"/>
      <w:numFmt w:val="bullet"/>
      <w:lvlText w:val=""/>
      <w:lvlJc w:val="left"/>
      <w:pPr>
        <w:tabs>
          <w:tab w:val="num" w:pos="618"/>
        </w:tabs>
        <w:ind w:left="6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38"/>
        </w:tabs>
        <w:ind w:left="133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240EBC"/>
    <w:multiLevelType w:val="multilevel"/>
    <w:tmpl w:val="D4DA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14760F"/>
    <w:multiLevelType w:val="hybridMultilevel"/>
    <w:tmpl w:val="FBACBD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74950"/>
    <w:multiLevelType w:val="hybridMultilevel"/>
    <w:tmpl w:val="67DCE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37"/>
    <w:rsid w:val="00D37C3B"/>
    <w:rsid w:val="00F35237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77D08"/>
  <w15:chartTrackingRefBased/>
  <w15:docId w15:val="{DECF6C2C-5A6C-452C-8480-D9C33C47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35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5237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F3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F3523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35237"/>
    <w:rPr>
      <w:b/>
      <w:bCs/>
    </w:rPr>
  </w:style>
  <w:style w:type="character" w:styleId="nfasis">
    <w:name w:val="Emphasis"/>
    <w:basedOn w:val="Fuentedeprrafopredeter"/>
    <w:uiPriority w:val="20"/>
    <w:qFormat/>
    <w:rsid w:val="00F3523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F3523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rmacia.unmsm.edu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1295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 Rosa</dc:creator>
  <cp:keywords/>
  <dc:description/>
  <cp:lastModifiedBy>Alexander La Rosa</cp:lastModifiedBy>
  <cp:revision>1</cp:revision>
  <dcterms:created xsi:type="dcterms:W3CDTF">2020-10-17T05:48:00Z</dcterms:created>
  <dcterms:modified xsi:type="dcterms:W3CDTF">2020-10-17T06:01:00Z</dcterms:modified>
</cp:coreProperties>
</file>